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05" w:rsidRPr="003A3FA5" w:rsidRDefault="00F20C05" w:rsidP="00F20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A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20C05" w:rsidRDefault="00F20C05" w:rsidP="00F20C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опубликованных учебных изданий и научных трудов</w:t>
      </w:r>
    </w:p>
    <w:p w:rsidR="00F20C05" w:rsidRDefault="00053944" w:rsidP="00F20C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старшего</w:t>
      </w:r>
      <w:r w:rsidR="00F20C05">
        <w:rPr>
          <w:rFonts w:ascii="Times New Roman" w:hAnsi="Times New Roman" w:cs="Times New Roman"/>
          <w:sz w:val="28"/>
          <w:szCs w:val="28"/>
        </w:rPr>
        <w:t xml:space="preserve"> преподавателя кафедры «Экономика агропромышленного комплекса» Курылевой Натальи Евгеньевны </w:t>
      </w:r>
    </w:p>
    <w:tbl>
      <w:tblPr>
        <w:tblW w:w="9339" w:type="dxa"/>
        <w:tblInd w:w="-17" w:type="dxa"/>
        <w:tblLayout w:type="fixed"/>
        <w:tblLook w:val="0000"/>
      </w:tblPr>
      <w:tblGrid>
        <w:gridCol w:w="606"/>
        <w:gridCol w:w="1929"/>
        <w:gridCol w:w="1245"/>
        <w:gridCol w:w="2724"/>
        <w:gridCol w:w="850"/>
        <w:gridCol w:w="1985"/>
      </w:tblGrid>
      <w:tr w:rsidR="00F20C05" w:rsidRPr="003608C0" w:rsidTr="008E5A7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05" w:rsidRPr="003608C0" w:rsidRDefault="00F20C05" w:rsidP="008E5A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608C0">
              <w:rPr>
                <w:rFonts w:ascii="Times New Roman" w:hAnsi="Times New Roman"/>
              </w:rPr>
              <w:t>№</w:t>
            </w:r>
          </w:p>
          <w:p w:rsidR="00F20C05" w:rsidRPr="003608C0" w:rsidRDefault="00F20C05" w:rsidP="008E5A76">
            <w:pPr>
              <w:spacing w:after="0" w:line="240" w:lineRule="auto"/>
              <w:rPr>
                <w:rFonts w:ascii="Times New Roman" w:hAnsi="Times New Roman"/>
              </w:rPr>
            </w:pPr>
            <w:r w:rsidRPr="003608C0">
              <w:rPr>
                <w:rFonts w:ascii="Times New Roman" w:hAnsi="Times New Roman"/>
              </w:rPr>
              <w:t>п/п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C05" w:rsidRPr="003A3FA5" w:rsidRDefault="00F20C05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8C0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C05" w:rsidRPr="003608C0" w:rsidRDefault="00F20C05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8C0">
              <w:rPr>
                <w:rFonts w:ascii="Times New Roman" w:hAnsi="Times New Roman"/>
              </w:rPr>
              <w:t xml:space="preserve">Форма </w:t>
            </w:r>
            <w:r>
              <w:rPr>
                <w:rFonts w:ascii="Times New Roman" w:hAnsi="Times New Roman"/>
              </w:rPr>
              <w:t>учебных изданий и научных трудов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C05" w:rsidRPr="003608C0" w:rsidRDefault="00F20C05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8C0">
              <w:rPr>
                <w:rFonts w:ascii="Times New Roman" w:hAnsi="Times New Roman"/>
              </w:rPr>
              <w:t>Выходные данные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C05" w:rsidRPr="003608C0" w:rsidRDefault="00F20C05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8C0">
              <w:rPr>
                <w:rFonts w:ascii="Times New Roman" w:hAnsi="Times New Roman"/>
              </w:rPr>
              <w:t xml:space="preserve">Объем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05" w:rsidRPr="003608C0" w:rsidRDefault="00F20C05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8C0">
              <w:rPr>
                <w:rFonts w:ascii="Times New Roman" w:hAnsi="Times New Roman"/>
              </w:rPr>
              <w:t>Соавторы</w:t>
            </w:r>
          </w:p>
        </w:tc>
      </w:tr>
      <w:tr w:rsidR="00F20C05" w:rsidRPr="003608C0" w:rsidTr="008E5A7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05" w:rsidRPr="00DB0D2A" w:rsidRDefault="00F20C05" w:rsidP="008E5A76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B0D2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C05" w:rsidRPr="00DB0D2A" w:rsidRDefault="00F20C05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0D2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C05" w:rsidRPr="00DB0D2A" w:rsidRDefault="00F20C05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0D2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C05" w:rsidRPr="00DB0D2A" w:rsidRDefault="00F20C05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0D2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C05" w:rsidRPr="00DB0D2A" w:rsidRDefault="00F20C05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0D2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C05" w:rsidRPr="00DB0D2A" w:rsidRDefault="00F20C05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0D2A">
              <w:rPr>
                <w:rFonts w:ascii="Times New Roman" w:hAnsi="Times New Roman"/>
                <w:b/>
              </w:rPr>
              <w:t>6</w:t>
            </w:r>
          </w:p>
        </w:tc>
      </w:tr>
      <w:tr w:rsidR="00F20C05" w:rsidRPr="003608C0" w:rsidTr="008E5A76">
        <w:tc>
          <w:tcPr>
            <w:tcW w:w="9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05" w:rsidRPr="003608C0" w:rsidRDefault="00F20C05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научные труды</w:t>
            </w:r>
          </w:p>
        </w:tc>
      </w:tr>
      <w:tr w:rsidR="008D6642" w:rsidRPr="003608C0" w:rsidTr="00DA3A14">
        <w:trPr>
          <w:trHeight w:val="3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642" w:rsidRDefault="000C70F2" w:rsidP="008E5A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642" w:rsidRPr="00752DF6" w:rsidRDefault="008D6642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Обеспечение получения запланированных урожаев люцерны путём проведения мероприятий по борьбе с её вредителями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642" w:rsidRDefault="008D6642" w:rsidP="005E5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642" w:rsidRDefault="006D3702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Сборник статей Национальной научно-практической конференции: Аграрная наука и образование: проблемы и перспективы. Под ред. Е. Б. Дудниковой. Саратов, 2022.-С. 220-223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C5A" w:rsidRDefault="006D3702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  <w:r w:rsidR="00B03C5A">
              <w:rPr>
                <w:rFonts w:ascii="Times New Roman" w:hAnsi="Times New Roman"/>
              </w:rPr>
              <w:t xml:space="preserve"> </w:t>
            </w:r>
          </w:p>
          <w:p w:rsidR="008D6642" w:rsidRDefault="00B03C5A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42" w:rsidRDefault="00FF43E2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16386" w:rsidRPr="003608C0" w:rsidTr="00DA3A14">
        <w:trPr>
          <w:trHeight w:val="3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386" w:rsidRDefault="000C70F2" w:rsidP="008E5A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386" w:rsidRPr="00752DF6" w:rsidRDefault="00616386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Особенности функционирования рынка труда в условиях цифровизации экономики 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386" w:rsidRDefault="00616386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386" w:rsidRDefault="00616386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Сборник статей Национальной научно-практической конференции: Аграрная наука и образование: проблемы и перспективы. Под ред. Е. Б. Дудниковой. Саратов, 2022.-С. 159-162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386" w:rsidRDefault="00616386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 (0,02) п. 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386" w:rsidRDefault="00616386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Кантемиров Р.М.</w:t>
            </w:r>
          </w:p>
        </w:tc>
      </w:tr>
      <w:tr w:rsidR="009646A1" w:rsidRPr="003608C0" w:rsidTr="00DA3A14">
        <w:trPr>
          <w:trHeight w:val="3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6A1" w:rsidRDefault="009646A1" w:rsidP="008E5A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A1" w:rsidRDefault="009646A1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Видовой состав и особенности борьбы с сорной растительностью на орошаемых землях в системе лесных полос</w:t>
            </w:r>
          </w:p>
          <w:p w:rsidR="009646A1" w:rsidRDefault="009646A1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A1" w:rsidRDefault="009646A1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A1" w:rsidRDefault="009646A1" w:rsidP="00B039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Аграрный научный журнал</w:t>
            </w:r>
            <w:r w:rsidR="00B039C5">
              <w:rPr>
                <w:rFonts w:ascii="Times New Roman" w:hAnsi="Times New Roman"/>
              </w:rPr>
              <w:t xml:space="preserve">. 2023. № 6. С. 40-45.  </w:t>
            </w:r>
          </w:p>
          <w:p w:rsidR="000873BA" w:rsidRDefault="000873BA" w:rsidP="00B039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перечню рецензируемых научных изданий)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A1" w:rsidRDefault="002200E0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  <w:p w:rsidR="002200E0" w:rsidRDefault="002200E0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(0,06) п.</w:t>
            </w:r>
            <w:r w:rsidR="00B753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A1" w:rsidRDefault="002955ED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Панфилов А.В., Попов В.Г., Удалова О.Г., Панфилова Е.Г., Мартынов Е.Н.</w:t>
            </w:r>
          </w:p>
        </w:tc>
      </w:tr>
      <w:tr w:rsidR="009646A1" w:rsidRPr="003608C0" w:rsidTr="00DA3A14">
        <w:trPr>
          <w:trHeight w:val="3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6A1" w:rsidRDefault="009646A1" w:rsidP="008E5A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A1" w:rsidRDefault="00A95DE7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Перспективные направления импортозамещения на рынке фруктов и овощей</w:t>
            </w:r>
          </w:p>
          <w:p w:rsidR="00A95DE7" w:rsidRDefault="00A95DE7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A1" w:rsidRDefault="00A95DE7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A1" w:rsidRDefault="00FA797B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Сборник статей </w:t>
            </w:r>
            <w:r>
              <w:rPr>
                <w:rFonts w:ascii="Times New Roman" w:hAnsi="Times New Roman"/>
                <w:lang w:val="en-US"/>
              </w:rPr>
              <w:t>VIII</w:t>
            </w:r>
            <w:r w:rsidRPr="00FA79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Международной научно-практической конференции: Проблемы и перспективы инновационного развития мирового сельского хозяйства. Под общей редакцией И.Ф. Сухановой и И.А. Родионовой. Саратов, 2023.С. 9-12.</w:t>
            </w:r>
          </w:p>
          <w:p w:rsidR="00EE67FB" w:rsidRDefault="00EE67FB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797B" w:rsidRDefault="00FA797B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29" w:rsidRDefault="00FA797B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  <w:r w:rsidR="00666C29">
              <w:rPr>
                <w:rFonts w:ascii="Times New Roman" w:hAnsi="Times New Roman"/>
              </w:rPr>
              <w:t xml:space="preserve"> </w:t>
            </w:r>
          </w:p>
          <w:p w:rsidR="009646A1" w:rsidRDefault="00666C29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A1" w:rsidRDefault="00FA797B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E67FB" w:rsidRPr="00EE67FB" w:rsidTr="00DA3A14">
        <w:trPr>
          <w:trHeight w:val="3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7FB" w:rsidRPr="00EE67FB" w:rsidRDefault="00EE67FB" w:rsidP="008E5A76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E67FB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7FB" w:rsidRPr="00EE67FB" w:rsidRDefault="00EE67FB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67FB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7FB" w:rsidRPr="00EE67FB" w:rsidRDefault="00EE67FB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67F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7FB" w:rsidRPr="00EE67FB" w:rsidRDefault="00EE67FB" w:rsidP="00426A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67F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7FB" w:rsidRPr="00EE67FB" w:rsidRDefault="00EE67FB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67F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7FB" w:rsidRPr="00EE67FB" w:rsidRDefault="00EE67FB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67FB">
              <w:rPr>
                <w:rFonts w:ascii="Times New Roman" w:hAnsi="Times New Roman"/>
                <w:b/>
              </w:rPr>
              <w:t>6</w:t>
            </w:r>
          </w:p>
        </w:tc>
      </w:tr>
      <w:tr w:rsidR="009646A1" w:rsidRPr="003608C0" w:rsidTr="00DA3A14">
        <w:trPr>
          <w:trHeight w:val="3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6A1" w:rsidRDefault="009646A1" w:rsidP="008E5A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A1" w:rsidRDefault="00426AD6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Особенности конкурентной борьбы в условиях рынка</w:t>
            </w:r>
          </w:p>
          <w:p w:rsidR="00426AD6" w:rsidRDefault="00426AD6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A1" w:rsidRDefault="00426AD6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AD6" w:rsidRDefault="00426AD6" w:rsidP="00426A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Сборник статей </w:t>
            </w:r>
            <w:r>
              <w:rPr>
                <w:rFonts w:ascii="Times New Roman" w:hAnsi="Times New Roman"/>
                <w:lang w:val="en-US"/>
              </w:rPr>
              <w:t>IX</w:t>
            </w:r>
            <w:r w:rsidRPr="00426A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международной научно-практической конференции: Проблемы и перспективы инновационного развития мирового сельского хозяйства. Саратов, 2023.С. 72-76.</w:t>
            </w:r>
          </w:p>
          <w:p w:rsidR="009646A1" w:rsidRDefault="009646A1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A1" w:rsidRDefault="00666C29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 (0,02) п. 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A1" w:rsidRDefault="00666C29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Корелко Р.В.</w:t>
            </w:r>
          </w:p>
        </w:tc>
      </w:tr>
      <w:tr w:rsidR="009646A1" w:rsidRPr="003608C0" w:rsidTr="00DA3A14">
        <w:trPr>
          <w:trHeight w:val="3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6A1" w:rsidRDefault="009646A1" w:rsidP="008E5A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A1" w:rsidRDefault="00666C29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Проведение мероприятий по защите орошаемой люцерны от болезней в целях ликвидации потерь урожая</w:t>
            </w:r>
          </w:p>
          <w:p w:rsidR="00FD241F" w:rsidRDefault="00FD241F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A1" w:rsidRDefault="00FD241F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A1" w:rsidRDefault="00FD241F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Сборник статей Национальной научно-практической конференции: Аграрная наука и образование: проблемы и перспективы. Саратов, 2023.С. 334-337.</w:t>
            </w:r>
          </w:p>
          <w:p w:rsidR="00FD241F" w:rsidRDefault="00FD241F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41F" w:rsidRDefault="00FD241F" w:rsidP="00FD2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0,03 </w:t>
            </w:r>
          </w:p>
          <w:p w:rsidR="009646A1" w:rsidRDefault="00FD241F" w:rsidP="00FD2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A1" w:rsidRDefault="00FD241F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646A1" w:rsidRPr="003608C0" w:rsidTr="00DA3A14">
        <w:trPr>
          <w:trHeight w:val="3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6A1" w:rsidRDefault="009646A1" w:rsidP="008E5A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A1" w:rsidRDefault="008E5A76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Зависимость рентабельности от продуктивности и затрат сельскохозяйственных угодий в системе агротехнических и лесомелиоративных мероприятий</w:t>
            </w:r>
          </w:p>
          <w:p w:rsidR="008E5A76" w:rsidRDefault="008E5A76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A1" w:rsidRDefault="008E5A76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5A76" w:rsidRDefault="008E5A76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Сборник статей </w:t>
            </w:r>
            <w:r>
              <w:rPr>
                <w:rFonts w:ascii="Times New Roman" w:hAnsi="Times New Roman"/>
                <w:lang w:val="en-US"/>
              </w:rPr>
              <w:t>XI</w:t>
            </w:r>
            <w:r w:rsidRPr="00FA79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Международной научно-практической конференции: Проблемы и перспективы развития сельского хозяйства и сельских территорий. Саратовский государственный университет генетики, биотехнологии и инженерии имени Н.И. Вавилова. САРАТОВ, 2023.С. 210-213.</w:t>
            </w:r>
          </w:p>
          <w:p w:rsidR="009646A1" w:rsidRDefault="009646A1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A1" w:rsidRDefault="00C8106D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 (0,01) п. 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A1" w:rsidRDefault="00C8106D" w:rsidP="00C810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Панфилов А.В., Попов В.Г., Марискин Р.В., Лазарев А.А.</w:t>
            </w:r>
          </w:p>
        </w:tc>
      </w:tr>
      <w:tr w:rsidR="009646A1" w:rsidRPr="003608C0" w:rsidTr="00DA3A14">
        <w:trPr>
          <w:trHeight w:val="3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6A1" w:rsidRDefault="009646A1" w:rsidP="008E5A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A1" w:rsidRDefault="00EF1AC5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Инновационный менеджмент и маркетинг в агроэкономике</w:t>
            </w:r>
          </w:p>
          <w:p w:rsidR="00EF1AC5" w:rsidRDefault="00EF1AC5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A1" w:rsidRDefault="00EF1AC5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AC5" w:rsidRDefault="00EF1AC5" w:rsidP="00EF1A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Сборник статей </w:t>
            </w:r>
            <w:r>
              <w:rPr>
                <w:rFonts w:ascii="Times New Roman" w:hAnsi="Times New Roman"/>
                <w:lang w:val="en-US"/>
              </w:rPr>
              <w:t>X</w:t>
            </w:r>
            <w:r w:rsidRPr="00426AD6">
              <w:rPr>
                <w:rFonts w:ascii="Times New Roman" w:hAnsi="Times New Roman"/>
              </w:rPr>
              <w:t xml:space="preserve"> </w:t>
            </w:r>
            <w:r w:rsidR="006026A3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еждународной научно-практической конференции: Проблемы и перспективы инновационного развития мирового сельског</w:t>
            </w:r>
            <w:r w:rsidR="006026A3">
              <w:rPr>
                <w:rFonts w:ascii="Times New Roman" w:hAnsi="Times New Roman"/>
              </w:rPr>
              <w:t>о хозяйства. Саратов, 2024.С. 73-77</w:t>
            </w:r>
            <w:r>
              <w:rPr>
                <w:rFonts w:ascii="Times New Roman" w:hAnsi="Times New Roman"/>
              </w:rPr>
              <w:t>.</w:t>
            </w:r>
          </w:p>
          <w:p w:rsidR="009646A1" w:rsidRDefault="009646A1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6A1" w:rsidRDefault="006026A3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3A672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(0,01) п. 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A1" w:rsidRDefault="006026A3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Ерзова П.И.</w:t>
            </w:r>
          </w:p>
        </w:tc>
      </w:tr>
      <w:tr w:rsidR="00274500" w:rsidRPr="003608C0" w:rsidTr="00A76A70">
        <w:trPr>
          <w:trHeight w:val="3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500" w:rsidRDefault="00274500" w:rsidP="008E5A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500" w:rsidRDefault="00274500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Организация и проведение маркетинговых исследований конкурентоспособности предприятия</w:t>
            </w:r>
          </w:p>
          <w:p w:rsidR="00274500" w:rsidRDefault="00274500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500" w:rsidRDefault="00274500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500" w:rsidRPr="00C30CDA" w:rsidRDefault="00274500" w:rsidP="00C30CDA">
            <w:pPr>
              <w:jc w:val="center"/>
              <w:rPr>
                <w:color w:val="00008F"/>
              </w:rPr>
            </w:pPr>
            <w:r>
              <w:rPr>
                <w:rFonts w:ascii="Times New Roman" w:hAnsi="Times New Roman"/>
              </w:rPr>
              <w:t xml:space="preserve">Сборник статей Национальной научно-практической конференции с международным участием: </w:t>
            </w:r>
            <w:r w:rsidR="00C30CDA">
              <w:rPr>
                <w:rFonts w:ascii="Times New Roman" w:hAnsi="Times New Roman"/>
              </w:rPr>
              <w:t xml:space="preserve">Актуальные проблемы и перспективы аграрной науки. </w:t>
            </w:r>
            <w:r>
              <w:rPr>
                <w:rFonts w:ascii="Times New Roman" w:hAnsi="Times New Roman"/>
              </w:rPr>
              <w:t xml:space="preserve"> </w:t>
            </w:r>
            <w:r w:rsidR="00C30CDA">
              <w:rPr>
                <w:rFonts w:ascii="Times New Roman" w:hAnsi="Times New Roman"/>
              </w:rPr>
              <w:t>Саратов, 2024.</w:t>
            </w:r>
            <w:r>
              <w:rPr>
                <w:rFonts w:ascii="Times New Roman" w:hAnsi="Times New Roman"/>
              </w:rPr>
              <w:t xml:space="preserve">С. </w:t>
            </w:r>
            <w:r w:rsidR="00C30CDA">
              <w:rPr>
                <w:rFonts w:ascii="Times New Roman" w:hAnsi="Times New Roman"/>
              </w:rPr>
              <w:t>328-331.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500" w:rsidRDefault="0034659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0,03 (0,01) п. 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00" w:rsidRDefault="00346599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Пшенцова А.И., Пшенцова Е.И., Минеева Л.Н., Колотова Н.А.</w:t>
            </w:r>
          </w:p>
        </w:tc>
      </w:tr>
      <w:tr w:rsidR="00EE67FB" w:rsidRPr="003608C0" w:rsidTr="00DA3A14">
        <w:trPr>
          <w:trHeight w:val="3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7FB" w:rsidRPr="00EE67FB" w:rsidRDefault="00EE67FB" w:rsidP="008E5A76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E67FB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7FB" w:rsidRPr="00EE67FB" w:rsidRDefault="00EE67FB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67FB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7FB" w:rsidRPr="00EE67FB" w:rsidRDefault="00EE67FB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67F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7FB" w:rsidRPr="00EE67FB" w:rsidRDefault="00EE67FB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67F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7FB" w:rsidRPr="00EE67FB" w:rsidRDefault="00EE67FB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67F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7FB" w:rsidRPr="00EE67FB" w:rsidRDefault="00EE67FB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67FB">
              <w:rPr>
                <w:rFonts w:ascii="Times New Roman" w:hAnsi="Times New Roman"/>
                <w:b/>
              </w:rPr>
              <w:t>6</w:t>
            </w:r>
          </w:p>
        </w:tc>
      </w:tr>
      <w:tr w:rsidR="00274500" w:rsidRPr="003608C0" w:rsidTr="00B94CEB">
        <w:trPr>
          <w:trHeight w:val="3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500" w:rsidRDefault="00274500" w:rsidP="008E5A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500" w:rsidRDefault="00532650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Особенности формирования трудового потенциала на селе</w:t>
            </w:r>
          </w:p>
          <w:p w:rsidR="00532650" w:rsidRDefault="00532650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500" w:rsidRDefault="00532650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4CEB" w:rsidRDefault="00B94CEB" w:rsidP="00B94C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B94C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B94C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500" w:rsidRDefault="00532650" w:rsidP="00B94C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Сборник статей Национальной научно-практической конференции с международным участием: Актуальные проблемы и перспективы аграрной науки.  Саратов, 2024.С. 189-192.</w:t>
            </w:r>
          </w:p>
          <w:p w:rsidR="00B94CEB" w:rsidRDefault="00B94CEB" w:rsidP="00B94C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B94C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B94C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15B" w:rsidRDefault="0044615B" w:rsidP="004461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0,03 </w:t>
            </w:r>
          </w:p>
          <w:p w:rsidR="00274500" w:rsidRDefault="0044615B" w:rsidP="004461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00" w:rsidRDefault="00E87F82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74500" w:rsidRPr="003608C0" w:rsidTr="00DA3A14">
        <w:trPr>
          <w:trHeight w:val="3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500" w:rsidRDefault="00274500" w:rsidP="008E5A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500" w:rsidRDefault="003A6728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Факторы повышения конкурентоспособности сельского хозяйства России</w:t>
            </w:r>
          </w:p>
          <w:p w:rsidR="003A6728" w:rsidRDefault="003A6728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500" w:rsidRDefault="003A6728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4CEB" w:rsidRDefault="00B94CEB" w:rsidP="003A67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3A67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6728" w:rsidRDefault="003A6728" w:rsidP="003A67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Сборник статей </w:t>
            </w:r>
            <w:r>
              <w:rPr>
                <w:rFonts w:ascii="Times New Roman" w:hAnsi="Times New Roman"/>
                <w:lang w:val="en-US"/>
              </w:rPr>
              <w:t>X</w:t>
            </w:r>
            <w:r w:rsidRPr="00426A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Международной научно-практической конференции: Проблемы и перспективы инновационного развития мирового сельского хозяйства. Саратов, 2024.С. 156-159.</w:t>
            </w:r>
          </w:p>
          <w:p w:rsidR="00B94CEB" w:rsidRDefault="00B94CEB" w:rsidP="003A67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3A67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3A67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3A67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3A67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500" w:rsidRDefault="00274500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500" w:rsidRDefault="003A6728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 (0,01) п. 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00" w:rsidRDefault="003A6728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Славина В.В.</w:t>
            </w:r>
          </w:p>
        </w:tc>
      </w:tr>
      <w:tr w:rsidR="00274500" w:rsidRPr="003608C0" w:rsidTr="00DA3A14">
        <w:trPr>
          <w:trHeight w:val="3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500" w:rsidRDefault="00274500" w:rsidP="008E5A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500" w:rsidRDefault="00742F7A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Направления повышения экономической эффективности в птицеводческом подкомплексе России</w:t>
            </w:r>
          </w:p>
          <w:p w:rsidR="00742F7A" w:rsidRDefault="00742F7A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(научная статья)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500" w:rsidRDefault="00742F7A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4CEB" w:rsidRDefault="00B94CEB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2F7A" w:rsidRDefault="00742F7A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Сборник статей </w:t>
            </w:r>
            <w:r>
              <w:rPr>
                <w:rFonts w:ascii="Times New Roman" w:hAnsi="Times New Roman"/>
                <w:lang w:val="en-US"/>
              </w:rPr>
              <w:t>X</w:t>
            </w:r>
            <w:r w:rsidRPr="00426A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Международной научно-практической конференции: Проблемы и перспективы инновационного развития мирового сельского хозяйства. Саратов, 2024.С. 131-137.</w:t>
            </w:r>
          </w:p>
          <w:p w:rsidR="00B94CEB" w:rsidRDefault="00B94CEB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4CEB" w:rsidRDefault="00B94CEB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500" w:rsidRDefault="00274500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500" w:rsidRDefault="00742F7A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 (0,01) п. 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00" w:rsidRDefault="00742F7A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Пшенцова А.И., Пшенцова Е.И., Колотова Н.А., Соколов Д.В.</w:t>
            </w:r>
          </w:p>
        </w:tc>
      </w:tr>
      <w:tr w:rsidR="00B94CEB" w:rsidRPr="003608C0" w:rsidTr="00DA3A14">
        <w:trPr>
          <w:trHeight w:val="3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EB" w:rsidRPr="00B94CEB" w:rsidRDefault="00B94CEB" w:rsidP="008E5A76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94CEB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4CEB" w:rsidRPr="00B94CEB" w:rsidRDefault="00B94CEB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4CEB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4CEB" w:rsidRPr="00B94CEB" w:rsidRDefault="00B94CEB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CE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4CEB" w:rsidRPr="00B94CEB" w:rsidRDefault="00B94CEB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CE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4CEB" w:rsidRPr="00B94CEB" w:rsidRDefault="00B94CEB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CE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CEB" w:rsidRPr="00B94CEB" w:rsidRDefault="00B94CEB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CEB">
              <w:rPr>
                <w:rFonts w:ascii="Times New Roman" w:hAnsi="Times New Roman"/>
                <w:b/>
              </w:rPr>
              <w:t>6</w:t>
            </w:r>
          </w:p>
        </w:tc>
      </w:tr>
      <w:tr w:rsidR="001A03A9" w:rsidRPr="003608C0" w:rsidTr="00DA3A14">
        <w:trPr>
          <w:trHeight w:val="3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3A9" w:rsidRDefault="001A03A9" w:rsidP="008E5A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3A9" w:rsidRDefault="00724D9C" w:rsidP="00752D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Уточнение функционального назначения лесных участков в пределах установленной категории защитных лесов под влиянием лесных пожаров и антропогенной деятельности</w:t>
            </w:r>
          </w:p>
          <w:p w:rsidR="00724D9C" w:rsidRDefault="00724D9C" w:rsidP="00CB2B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="00CB2B70">
              <w:rPr>
                <w:rFonts w:ascii="Times New Roman" w:hAnsi="Times New Roman" w:cs="Times New Roman"/>
                <w:bCs/>
                <w:color w:val="000000"/>
              </w:rPr>
              <w:t>монография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3A9" w:rsidRDefault="0050407D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3A9" w:rsidRPr="00496915" w:rsidRDefault="00CB2B70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Монография/А.В. Панфилов, В.Г. Попов, В.А. Бородин и др.//ФГБОУ ВО «Вавиловский университет».</w:t>
            </w:r>
            <w:r w:rsidR="004969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4969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Саратов: Амирит, 2025.</w:t>
            </w:r>
            <w:r w:rsidR="00D635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D635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160 с.</w:t>
            </w:r>
            <w:r w:rsidR="00604886">
              <w:rPr>
                <w:rFonts w:ascii="Times New Roman" w:hAnsi="Times New Roman"/>
              </w:rPr>
              <w:t xml:space="preserve"> </w:t>
            </w:r>
            <w:r w:rsidRPr="00CB2B70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ил.</w:t>
            </w:r>
            <w:r w:rsidRPr="00CB2B70">
              <w:rPr>
                <w:rFonts w:ascii="Times New Roman" w:hAnsi="Times New Roman"/>
              </w:rPr>
              <w:t>]</w:t>
            </w:r>
          </w:p>
          <w:p w:rsidR="00CB2B70" w:rsidRPr="00D635D0" w:rsidRDefault="00CB2B70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ISBN</w:t>
            </w:r>
            <w:r w:rsidRPr="00D635D0">
              <w:rPr>
                <w:rFonts w:ascii="Times New Roman" w:hAnsi="Times New Roman"/>
              </w:rPr>
              <w:t xml:space="preserve"> 978-5-00207-753-3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3A9" w:rsidRDefault="002C5B57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  <w:p w:rsidR="002C5B57" w:rsidRDefault="002C5B57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(0,4)</w:t>
            </w:r>
          </w:p>
          <w:p w:rsidR="002C5B57" w:rsidRPr="002C5B57" w:rsidRDefault="002C5B57" w:rsidP="008E5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A70" w:rsidRDefault="00A76A70" w:rsidP="00742F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Панфилов А.В., Попов В.Г., </w:t>
            </w:r>
          </w:p>
          <w:p w:rsidR="001A03A9" w:rsidRDefault="00A76A70" w:rsidP="00A76A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Бородин А.В., Хилько О.Е., Колотырин К.П., Проездов П.Н., Коцарь Ю.А., Доронин К.М., Ивченко О.А., Удалова О.Г., Карпова О.В., Надежкина Г.П., Розанов А.В.,  Панфилова Е.Г.,  Мотова Ю.В., Мартынов Е.Н.</w:t>
            </w:r>
            <w:r w:rsidR="00071F77">
              <w:rPr>
                <w:rFonts w:ascii="Times New Roman" w:hAnsi="Times New Roman"/>
              </w:rPr>
              <w:t xml:space="preserve">, Марискин Р.В., Лазарев А.А., Богомолов Д.К., Попова М.А., Акчурин Р.Ш. </w:t>
            </w:r>
          </w:p>
        </w:tc>
      </w:tr>
    </w:tbl>
    <w:p w:rsidR="00F95BDE" w:rsidRDefault="00F95BDE" w:rsidP="005D61BA">
      <w:pPr>
        <w:spacing w:after="0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20C05" w:rsidRPr="00935DED" w:rsidRDefault="00F20C05" w:rsidP="00F20C0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55DCB" w:rsidRDefault="00055DCB"/>
    <w:sectPr w:rsidR="00055DCB" w:rsidSect="00230F2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C77" w:rsidRDefault="00315C77" w:rsidP="001C2322">
      <w:pPr>
        <w:spacing w:after="0" w:line="240" w:lineRule="auto"/>
      </w:pPr>
      <w:r>
        <w:separator/>
      </w:r>
    </w:p>
  </w:endnote>
  <w:endnote w:type="continuationSeparator" w:id="1">
    <w:p w:rsidR="00315C77" w:rsidRDefault="00315C77" w:rsidP="001C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770867"/>
      <w:docPartObj>
        <w:docPartGallery w:val="Page Numbers (Bottom of Page)"/>
        <w:docPartUnique/>
      </w:docPartObj>
    </w:sdtPr>
    <w:sdtContent>
      <w:p w:rsidR="00A76A70" w:rsidRDefault="00B47318">
        <w:pPr>
          <w:pStyle w:val="a5"/>
          <w:jc w:val="center"/>
        </w:pPr>
        <w:fldSimple w:instr="PAGE   \* MERGEFORMAT">
          <w:r w:rsidR="00B96984">
            <w:rPr>
              <w:noProof/>
            </w:rPr>
            <w:t>4</w:t>
          </w:r>
        </w:fldSimple>
      </w:p>
    </w:sdtContent>
  </w:sdt>
  <w:p w:rsidR="00A76A70" w:rsidRDefault="00A76A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C77" w:rsidRDefault="00315C77" w:rsidP="001C2322">
      <w:pPr>
        <w:spacing w:after="0" w:line="240" w:lineRule="auto"/>
      </w:pPr>
      <w:r>
        <w:separator/>
      </w:r>
    </w:p>
  </w:footnote>
  <w:footnote w:type="continuationSeparator" w:id="1">
    <w:p w:rsidR="00315C77" w:rsidRDefault="00315C77" w:rsidP="001C2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0AF"/>
    <w:rsid w:val="00053944"/>
    <w:rsid w:val="00055271"/>
    <w:rsid w:val="00055DCB"/>
    <w:rsid w:val="00070B33"/>
    <w:rsid w:val="00071F77"/>
    <w:rsid w:val="000873BA"/>
    <w:rsid w:val="000A0832"/>
    <w:rsid w:val="000C47C7"/>
    <w:rsid w:val="000C70F2"/>
    <w:rsid w:val="00121EA2"/>
    <w:rsid w:val="0018104F"/>
    <w:rsid w:val="0019031B"/>
    <w:rsid w:val="00194281"/>
    <w:rsid w:val="001A03A9"/>
    <w:rsid w:val="001B25BC"/>
    <w:rsid w:val="001C2322"/>
    <w:rsid w:val="002200E0"/>
    <w:rsid w:val="00230CAE"/>
    <w:rsid w:val="00230F2D"/>
    <w:rsid w:val="00274500"/>
    <w:rsid w:val="00280A68"/>
    <w:rsid w:val="002955ED"/>
    <w:rsid w:val="002A06E0"/>
    <w:rsid w:val="002C5B57"/>
    <w:rsid w:val="00310F1D"/>
    <w:rsid w:val="00315C77"/>
    <w:rsid w:val="00346599"/>
    <w:rsid w:val="003A1A39"/>
    <w:rsid w:val="003A4CAA"/>
    <w:rsid w:val="003A6728"/>
    <w:rsid w:val="003D647C"/>
    <w:rsid w:val="004116F9"/>
    <w:rsid w:val="00426AD6"/>
    <w:rsid w:val="004417F9"/>
    <w:rsid w:val="00445D06"/>
    <w:rsid w:val="0044615B"/>
    <w:rsid w:val="00472254"/>
    <w:rsid w:val="00486C51"/>
    <w:rsid w:val="00496915"/>
    <w:rsid w:val="004F7CA4"/>
    <w:rsid w:val="005000AF"/>
    <w:rsid w:val="0050407D"/>
    <w:rsid w:val="00510691"/>
    <w:rsid w:val="00532650"/>
    <w:rsid w:val="00554A1F"/>
    <w:rsid w:val="00575B98"/>
    <w:rsid w:val="005951EA"/>
    <w:rsid w:val="005D61BA"/>
    <w:rsid w:val="005E1B9B"/>
    <w:rsid w:val="005E54FF"/>
    <w:rsid w:val="006026A3"/>
    <w:rsid w:val="00604886"/>
    <w:rsid w:val="00604E8F"/>
    <w:rsid w:val="00616386"/>
    <w:rsid w:val="00626054"/>
    <w:rsid w:val="00626D05"/>
    <w:rsid w:val="0065210D"/>
    <w:rsid w:val="00666C29"/>
    <w:rsid w:val="006B5DCF"/>
    <w:rsid w:val="006D3702"/>
    <w:rsid w:val="007022E7"/>
    <w:rsid w:val="00724D9C"/>
    <w:rsid w:val="00730C34"/>
    <w:rsid w:val="00742F7A"/>
    <w:rsid w:val="00751DFF"/>
    <w:rsid w:val="00751ED8"/>
    <w:rsid w:val="00752DF6"/>
    <w:rsid w:val="00757840"/>
    <w:rsid w:val="00780469"/>
    <w:rsid w:val="007A177B"/>
    <w:rsid w:val="007A3B6D"/>
    <w:rsid w:val="007A454B"/>
    <w:rsid w:val="007D297B"/>
    <w:rsid w:val="007D3C56"/>
    <w:rsid w:val="0084011E"/>
    <w:rsid w:val="0086397E"/>
    <w:rsid w:val="008D65B6"/>
    <w:rsid w:val="008D6642"/>
    <w:rsid w:val="008E5A76"/>
    <w:rsid w:val="009646A1"/>
    <w:rsid w:val="009671A1"/>
    <w:rsid w:val="009A11B7"/>
    <w:rsid w:val="009F57C5"/>
    <w:rsid w:val="00A10041"/>
    <w:rsid w:val="00A71EA8"/>
    <w:rsid w:val="00A76A70"/>
    <w:rsid w:val="00A77CB1"/>
    <w:rsid w:val="00A9230B"/>
    <w:rsid w:val="00A95DE7"/>
    <w:rsid w:val="00AE1A56"/>
    <w:rsid w:val="00B039C5"/>
    <w:rsid w:val="00B03C5A"/>
    <w:rsid w:val="00B22F1B"/>
    <w:rsid w:val="00B47318"/>
    <w:rsid w:val="00B7530D"/>
    <w:rsid w:val="00B83305"/>
    <w:rsid w:val="00B848D0"/>
    <w:rsid w:val="00B94CEB"/>
    <w:rsid w:val="00B96984"/>
    <w:rsid w:val="00B97755"/>
    <w:rsid w:val="00BB5BC8"/>
    <w:rsid w:val="00C30CDA"/>
    <w:rsid w:val="00C8106D"/>
    <w:rsid w:val="00C90D7A"/>
    <w:rsid w:val="00CB2B70"/>
    <w:rsid w:val="00CC05D9"/>
    <w:rsid w:val="00CF4051"/>
    <w:rsid w:val="00D1667C"/>
    <w:rsid w:val="00D24017"/>
    <w:rsid w:val="00D32454"/>
    <w:rsid w:val="00D635D0"/>
    <w:rsid w:val="00DA3A14"/>
    <w:rsid w:val="00DB0D2A"/>
    <w:rsid w:val="00DC7948"/>
    <w:rsid w:val="00E465CA"/>
    <w:rsid w:val="00E87F82"/>
    <w:rsid w:val="00ED0ABB"/>
    <w:rsid w:val="00EE67FB"/>
    <w:rsid w:val="00EF1AC5"/>
    <w:rsid w:val="00F20C05"/>
    <w:rsid w:val="00F27C69"/>
    <w:rsid w:val="00F27CDE"/>
    <w:rsid w:val="00F514FD"/>
    <w:rsid w:val="00F618B8"/>
    <w:rsid w:val="00F95BDE"/>
    <w:rsid w:val="00FA797B"/>
    <w:rsid w:val="00FC35F1"/>
    <w:rsid w:val="00FD241F"/>
    <w:rsid w:val="00FF0E1D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322"/>
  </w:style>
  <w:style w:type="paragraph" w:styleId="a5">
    <w:name w:val="footer"/>
    <w:basedOn w:val="a"/>
    <w:link w:val="a6"/>
    <w:uiPriority w:val="99"/>
    <w:unhideWhenUsed/>
    <w:rsid w:val="001C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322"/>
  </w:style>
  <w:style w:type="paragraph" w:customStyle="1" w:styleId="bigtext">
    <w:name w:val="bigtext"/>
    <w:basedOn w:val="a"/>
    <w:rsid w:val="000C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039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322"/>
  </w:style>
  <w:style w:type="paragraph" w:styleId="a5">
    <w:name w:val="footer"/>
    <w:basedOn w:val="a"/>
    <w:link w:val="a6"/>
    <w:uiPriority w:val="99"/>
    <w:unhideWhenUsed/>
    <w:rsid w:val="001C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Солиева</cp:lastModifiedBy>
  <cp:revision>88</cp:revision>
  <cp:lastPrinted>2021-05-24T10:45:00Z</cp:lastPrinted>
  <dcterms:created xsi:type="dcterms:W3CDTF">2020-05-24T11:48:00Z</dcterms:created>
  <dcterms:modified xsi:type="dcterms:W3CDTF">2025-06-03T07:50:00Z</dcterms:modified>
</cp:coreProperties>
</file>